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AE2560">
      <w:pPr>
        <w:rPr>
          <w:sz w:val="28"/>
          <w:szCs w:val="28"/>
          <w:lang w:val="en-US"/>
        </w:rPr>
      </w:pPr>
      <w:r w:rsidRPr="004B154A">
        <w:rPr>
          <w:lang w:val="en-US"/>
        </w:rPr>
        <w:t xml:space="preserve">Subject </w:t>
      </w:r>
      <w:proofErr w:type="gramStart"/>
      <w:r w:rsidRPr="004B154A">
        <w:rPr>
          <w:lang w:val="en-US"/>
        </w:rPr>
        <w:t>9</w:t>
      </w:r>
      <w:proofErr w:type="gramEnd"/>
      <w:r w:rsidRPr="004B154A">
        <w:rPr>
          <w:lang w:val="en-US"/>
        </w:rPr>
        <w:t xml:space="preserve">. </w:t>
      </w:r>
      <w:r>
        <w:rPr>
          <w:sz w:val="28"/>
          <w:szCs w:val="28"/>
          <w:lang w:val="en-US"/>
        </w:rPr>
        <w:t>Architecture</w:t>
      </w:r>
      <w:r w:rsidRPr="004B154A">
        <w:rPr>
          <w:sz w:val="28"/>
          <w:szCs w:val="28"/>
          <w:lang w:val="en-US"/>
        </w:rPr>
        <w:t xml:space="preserve"> 1970-1990 </w:t>
      </w:r>
      <w:r>
        <w:rPr>
          <w:sz w:val="28"/>
          <w:szCs w:val="28"/>
          <w:lang w:val="en-US"/>
        </w:rPr>
        <w:t>years</w:t>
      </w:r>
      <w:r w:rsidRPr="004B154A">
        <w:rPr>
          <w:sz w:val="28"/>
          <w:szCs w:val="28"/>
          <w:lang w:val="en-US"/>
        </w:rPr>
        <w:t xml:space="preserve">. </w:t>
      </w:r>
      <w:r>
        <w:rPr>
          <w:sz w:val="28"/>
          <w:szCs w:val="28"/>
          <w:lang w:val="en-US"/>
        </w:rPr>
        <w:t>The Post-</w:t>
      </w:r>
      <w:proofErr w:type="spellStart"/>
      <w:r>
        <w:rPr>
          <w:sz w:val="28"/>
          <w:szCs w:val="28"/>
          <w:lang w:val="en-US"/>
        </w:rPr>
        <w:t>Modernisticly</w:t>
      </w:r>
      <w:proofErr w:type="spellEnd"/>
      <w:r w:rsidRPr="00AA7EC8">
        <w:rPr>
          <w:sz w:val="28"/>
          <w:szCs w:val="28"/>
          <w:lang w:val="en-US"/>
        </w:rPr>
        <w:t xml:space="preserve"> </w:t>
      </w:r>
      <w:r>
        <w:rPr>
          <w:sz w:val="28"/>
          <w:szCs w:val="28"/>
          <w:lang w:val="en-US"/>
        </w:rPr>
        <w:t>Classicalism of</w:t>
      </w:r>
      <w:r w:rsidRPr="003F68DF">
        <w:rPr>
          <w:sz w:val="28"/>
          <w:szCs w:val="28"/>
          <w:lang w:val="en-US"/>
        </w:rPr>
        <w:t xml:space="preserve"> </w:t>
      </w:r>
      <w:r w:rsidRPr="00AA7EC8">
        <w:rPr>
          <w:sz w:val="28"/>
          <w:szCs w:val="28"/>
          <w:lang w:val="en-US"/>
        </w:rPr>
        <w:t>1970-2000</w:t>
      </w:r>
      <w:r>
        <w:rPr>
          <w:sz w:val="28"/>
          <w:szCs w:val="28"/>
          <w:lang w:val="en-US"/>
        </w:rPr>
        <w:t>th</w:t>
      </w:r>
      <w:r w:rsidRPr="00AA7EC8">
        <w:rPr>
          <w:sz w:val="28"/>
          <w:szCs w:val="28"/>
          <w:lang w:val="en-US"/>
        </w:rPr>
        <w:t xml:space="preserve">. </w:t>
      </w:r>
      <w:r>
        <w:rPr>
          <w:sz w:val="28"/>
          <w:szCs w:val="28"/>
          <w:lang w:val="en-US"/>
        </w:rPr>
        <w:t xml:space="preserve">The </w:t>
      </w:r>
      <w:r w:rsidRPr="00AA7EC8">
        <w:rPr>
          <w:sz w:val="28"/>
          <w:szCs w:val="28"/>
          <w:lang w:val="en-US"/>
        </w:rPr>
        <w:t>«Mai</w:t>
      </w:r>
      <w:r w:rsidRPr="00174549">
        <w:rPr>
          <w:sz w:val="28"/>
          <w:szCs w:val="28"/>
        </w:rPr>
        <w:t>п</w:t>
      </w:r>
      <w:r w:rsidRPr="00AA7EC8">
        <w:rPr>
          <w:sz w:val="28"/>
          <w:szCs w:val="28"/>
          <w:lang w:val="en-US"/>
        </w:rPr>
        <w:t>stream»</w:t>
      </w:r>
      <w:r>
        <w:rPr>
          <w:sz w:val="28"/>
          <w:szCs w:val="28"/>
          <w:lang w:val="en-US"/>
        </w:rPr>
        <w:t xml:space="preserve"> of</w:t>
      </w:r>
      <w:r w:rsidRPr="00AA7EC8">
        <w:rPr>
          <w:sz w:val="28"/>
          <w:szCs w:val="28"/>
          <w:lang w:val="en-US"/>
        </w:rPr>
        <w:t xml:space="preserve"> </w:t>
      </w:r>
      <w:r>
        <w:rPr>
          <w:sz w:val="28"/>
          <w:szCs w:val="28"/>
          <w:lang w:val="en-US"/>
        </w:rPr>
        <w:t>Post-</w:t>
      </w:r>
      <w:proofErr w:type="spellStart"/>
      <w:r>
        <w:rPr>
          <w:sz w:val="28"/>
          <w:szCs w:val="28"/>
          <w:lang w:val="en-US"/>
        </w:rPr>
        <w:t>Modernisticaly</w:t>
      </w:r>
      <w:proofErr w:type="spellEnd"/>
      <w:r w:rsidRPr="00AA7EC8">
        <w:rPr>
          <w:sz w:val="28"/>
          <w:szCs w:val="28"/>
          <w:lang w:val="en-US"/>
        </w:rPr>
        <w:t xml:space="preserve"> </w:t>
      </w:r>
      <w:r>
        <w:rPr>
          <w:sz w:val="28"/>
          <w:szCs w:val="28"/>
          <w:lang w:val="en-US"/>
        </w:rPr>
        <w:t>architecture</w:t>
      </w:r>
      <w:r w:rsidRPr="00AA7EC8">
        <w:rPr>
          <w:sz w:val="28"/>
          <w:szCs w:val="28"/>
          <w:lang w:val="en-US"/>
        </w:rPr>
        <w:t>.</w:t>
      </w:r>
    </w:p>
    <w:p w:rsidR="00AA1AB6" w:rsidRDefault="00AA1AB6">
      <w:pPr>
        <w:rPr>
          <w:sz w:val="28"/>
          <w:szCs w:val="28"/>
          <w:lang w:val="en-US"/>
        </w:rPr>
      </w:pPr>
    </w:p>
    <w:p w:rsidR="00AA1AB6" w:rsidRPr="001145FF" w:rsidRDefault="00AA1AB6" w:rsidP="00AA1AB6">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In the 1980s and 1990s, KPF transformed from an American firm known for its corporate designs into an international firm with institutional, government, and transportation commissions in addition to corporate work.</w:t>
      </w:r>
    </w:p>
    <w:p w:rsidR="00AA1AB6" w:rsidRDefault="00AA1AB6" w:rsidP="00AA1AB6">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KPF completed the design for two blocks of the large-scale </w:t>
      </w:r>
      <w:smartTag w:uri="urn:schemas-microsoft-com:office:smarttags" w:element="place">
        <w:smartTag w:uri="urn:schemas-microsoft-com:office:smarttags" w:element="PlaceName">
          <w:r w:rsidRPr="001145FF">
            <w:rPr>
              <w:rFonts w:ascii="Times New Roman" w:hAnsi="Times New Roman"/>
              <w:sz w:val="28"/>
              <w:szCs w:val="28"/>
              <w:lang w:val="en-US"/>
            </w:rPr>
            <w:t>Canary</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Wharf</w:t>
          </w:r>
        </w:smartTag>
      </w:smartTag>
      <w:r w:rsidRPr="001145FF">
        <w:rPr>
          <w:rFonts w:ascii="Times New Roman" w:hAnsi="Times New Roman"/>
          <w:sz w:val="28"/>
          <w:szCs w:val="28"/>
          <w:lang w:val="en-US"/>
        </w:rPr>
        <w:t xml:space="preserve"> r</w:t>
      </w:r>
      <w:r w:rsidRPr="001145FF">
        <w:rPr>
          <w:rFonts w:ascii="Times New Roman" w:hAnsi="Times New Roman"/>
          <w:sz w:val="28"/>
          <w:szCs w:val="28"/>
          <w:lang w:val="en-US"/>
        </w:rPr>
        <w:t>e</w:t>
      </w:r>
      <w:r w:rsidRPr="001145FF">
        <w:rPr>
          <w:rFonts w:ascii="Times New Roman" w:hAnsi="Times New Roman"/>
          <w:sz w:val="28"/>
          <w:szCs w:val="28"/>
          <w:lang w:val="en-US"/>
        </w:rPr>
        <w:t xml:space="preserve">development (1987) and the Goldman Sachs Headquarters </w:t>
      </w:r>
      <w:r>
        <w:rPr>
          <w:rFonts w:ascii="Times New Roman" w:hAnsi="Times New Roman"/>
          <w:sz w:val="28"/>
          <w:szCs w:val="28"/>
          <w:lang w:val="en-US"/>
        </w:rPr>
        <w:t>on Fleet Street (1987–1991).</w:t>
      </w:r>
      <w:r w:rsidRPr="001145FF">
        <w:rPr>
          <w:rFonts w:ascii="Times New Roman" w:hAnsi="Times New Roman"/>
          <w:sz w:val="28"/>
          <w:szCs w:val="28"/>
          <w:lang w:val="en-US"/>
        </w:rPr>
        <w:t xml:space="preserve"> KPF </w:t>
      </w:r>
      <w:proofErr w:type="gramStart"/>
      <w:r w:rsidRPr="001145FF">
        <w:rPr>
          <w:rFonts w:ascii="Times New Roman" w:hAnsi="Times New Roman"/>
          <w:sz w:val="28"/>
          <w:szCs w:val="28"/>
          <w:lang w:val="en-US"/>
        </w:rPr>
        <w:t>has been selected</w:t>
      </w:r>
      <w:proofErr w:type="gramEnd"/>
      <w:r w:rsidRPr="001145FF">
        <w:rPr>
          <w:rFonts w:ascii="Times New Roman" w:hAnsi="Times New Roman"/>
          <w:sz w:val="28"/>
          <w:szCs w:val="28"/>
          <w:lang w:val="en-US"/>
        </w:rPr>
        <w:t xml:space="preserve"> for projects in the </w:t>
      </w:r>
      <w:smartTag w:uri="urn:schemas-microsoft-com:office:smarttags" w:element="PlaceName">
        <w:r w:rsidRPr="001145FF">
          <w:rPr>
            <w:rFonts w:ascii="Times New Roman" w:hAnsi="Times New Roman"/>
            <w:sz w:val="28"/>
            <w:szCs w:val="28"/>
            <w:lang w:val="en-US"/>
          </w:rPr>
          <w:t>Canary</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Wharf</w:t>
        </w:r>
      </w:smartTag>
      <w:r w:rsidRPr="001145FF">
        <w:rPr>
          <w:rFonts w:ascii="Times New Roman" w:hAnsi="Times New Roman"/>
          <w:sz w:val="28"/>
          <w:szCs w:val="28"/>
          <w:lang w:val="en-US"/>
        </w:rPr>
        <w:t xml:space="preserve"> area through the present day, including the </w:t>
      </w:r>
      <w:smartTag w:uri="urn:schemas-microsoft-com:office:smarttags" w:element="place">
        <w:smartTag w:uri="urn:schemas-microsoft-com:office:smarttags" w:element="PlaceName">
          <w:r w:rsidRPr="001145FF">
            <w:rPr>
              <w:rFonts w:ascii="Times New Roman" w:hAnsi="Times New Roman"/>
              <w:sz w:val="28"/>
              <w:szCs w:val="28"/>
              <w:lang w:val="en-US"/>
            </w:rPr>
            <w:t>Clifford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Chance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Tower</w:t>
          </w:r>
        </w:smartTag>
      </w:smartTag>
      <w:r w:rsidRPr="001145FF">
        <w:rPr>
          <w:rFonts w:ascii="Times New Roman" w:hAnsi="Times New Roman"/>
          <w:sz w:val="28"/>
          <w:szCs w:val="28"/>
          <w:lang w:val="en-US"/>
        </w:rPr>
        <w:t xml:space="preserve"> (2002) to the KPMG’s European Headquarters (2009). KPF’s subsequent work in the </w:t>
      </w:r>
      <w:smartTag w:uri="urn:schemas-microsoft-com:office:smarttags" w:element="country-region">
        <w:r w:rsidRPr="001145FF">
          <w:rPr>
            <w:rFonts w:ascii="Times New Roman" w:hAnsi="Times New Roman"/>
            <w:sz w:val="28"/>
            <w:szCs w:val="28"/>
            <w:lang w:val="en-US"/>
          </w:rPr>
          <w:t>U.K.</w:t>
        </w:r>
      </w:smartTag>
      <w:r w:rsidRPr="001145FF">
        <w:rPr>
          <w:rFonts w:ascii="Times New Roman" w:hAnsi="Times New Roman"/>
          <w:sz w:val="28"/>
          <w:szCs w:val="28"/>
          <w:lang w:val="en-US"/>
        </w:rPr>
        <w:t xml:space="preserve"> includes </w:t>
      </w:r>
      <w:smartTag w:uri="urn:schemas-microsoft-com:office:smarttags" w:element="Street">
        <w:smartTag w:uri="urn:schemas-microsoft-com:office:smarttags" w:element="address">
          <w:r w:rsidRPr="001145FF">
            <w:rPr>
              <w:rFonts w:ascii="Times New Roman" w:hAnsi="Times New Roman"/>
              <w:sz w:val="28"/>
              <w:szCs w:val="28"/>
              <w:lang w:val="en-US"/>
            </w:rPr>
            <w:t>Thames Court</w:t>
          </w:r>
        </w:smartTag>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London</w:t>
        </w:r>
      </w:smartTag>
      <w:r w:rsidRPr="001145FF">
        <w:rPr>
          <w:rFonts w:ascii="Times New Roman" w:hAnsi="Times New Roman"/>
          <w:sz w:val="28"/>
          <w:szCs w:val="28"/>
          <w:lang w:val="en-US"/>
        </w:rPr>
        <w:t xml:space="preserve"> (1998), the </w:t>
      </w:r>
      <w:proofErr w:type="spellStart"/>
      <w:r w:rsidRPr="001145FF">
        <w:rPr>
          <w:rFonts w:ascii="Times New Roman" w:hAnsi="Times New Roman"/>
          <w:sz w:val="28"/>
          <w:szCs w:val="28"/>
          <w:lang w:val="en-US"/>
        </w:rPr>
        <w:t>Rothermere</w:t>
      </w:r>
      <w:proofErr w:type="spellEnd"/>
      <w:r w:rsidRPr="001145FF">
        <w:rPr>
          <w:rFonts w:ascii="Times New Roman" w:hAnsi="Times New Roman"/>
          <w:sz w:val="28"/>
          <w:szCs w:val="28"/>
          <w:lang w:val="en-US"/>
        </w:rPr>
        <w:t xml:space="preserve"> American Institute at </w:t>
      </w:r>
      <w:smartTag w:uri="urn:schemas-microsoft-com:office:smarttags" w:element="place">
        <w:smartTag w:uri="urn:schemas-microsoft-com:office:smarttags" w:element="PlaceName">
          <w:r w:rsidRPr="001145FF">
            <w:rPr>
              <w:rFonts w:ascii="Times New Roman" w:hAnsi="Times New Roman"/>
              <w:sz w:val="28"/>
              <w:szCs w:val="28"/>
              <w:lang w:val="en-US"/>
            </w:rPr>
            <w:t>Oxford</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University</w:t>
          </w:r>
        </w:smartTag>
      </w:smartTag>
      <w:r w:rsidRPr="001145FF">
        <w:rPr>
          <w:rFonts w:ascii="Times New Roman" w:hAnsi="Times New Roman"/>
          <w:sz w:val="28"/>
          <w:szCs w:val="28"/>
          <w:lang w:val="en-US"/>
        </w:rPr>
        <w:t xml:space="preserve"> (2001) and the master plan for the London School of Economics (2002). KPF’s design for the award-winning </w:t>
      </w:r>
      <w:proofErr w:type="spellStart"/>
      <w:r w:rsidRPr="001145FF">
        <w:rPr>
          <w:rFonts w:ascii="Times New Roman" w:hAnsi="Times New Roman"/>
          <w:sz w:val="28"/>
          <w:szCs w:val="28"/>
          <w:lang w:val="en-US"/>
        </w:rPr>
        <w:t>Westendstraße</w:t>
      </w:r>
      <w:proofErr w:type="spellEnd"/>
      <w:r w:rsidRPr="001145FF">
        <w:rPr>
          <w:rFonts w:ascii="Times New Roman" w:hAnsi="Times New Roman"/>
          <w:sz w:val="28"/>
          <w:szCs w:val="28"/>
          <w:lang w:val="en-US"/>
        </w:rPr>
        <w:t xml:space="preserve"> 1 in </w:t>
      </w:r>
      <w:smartTag w:uri="urn:schemas-microsoft-com:office:smarttags" w:element="place">
        <w:r w:rsidRPr="001145FF">
          <w:rPr>
            <w:rFonts w:ascii="Times New Roman" w:hAnsi="Times New Roman"/>
            <w:sz w:val="28"/>
            <w:szCs w:val="28"/>
            <w:lang w:val="en-US"/>
          </w:rPr>
          <w:t>Frankfurt</w:t>
        </w:r>
      </w:smartTag>
      <w:r w:rsidRPr="001145FF">
        <w:rPr>
          <w:rFonts w:ascii="Times New Roman" w:hAnsi="Times New Roman"/>
          <w:sz w:val="28"/>
          <w:szCs w:val="28"/>
          <w:lang w:val="en-US"/>
        </w:rPr>
        <w:t xml:space="preserve"> (1992), an early example of mixed-use design, further increased the firm’s international prominence and solid</w:t>
      </w:r>
      <w:r w:rsidRPr="001145FF">
        <w:rPr>
          <w:rFonts w:ascii="Times New Roman" w:hAnsi="Times New Roman"/>
          <w:sz w:val="28"/>
          <w:szCs w:val="28"/>
          <w:lang w:val="en-US"/>
        </w:rPr>
        <w:t>i</w:t>
      </w:r>
      <w:r w:rsidRPr="001145FF">
        <w:rPr>
          <w:rFonts w:ascii="Times New Roman" w:hAnsi="Times New Roman"/>
          <w:sz w:val="28"/>
          <w:szCs w:val="28"/>
          <w:lang w:val="en-US"/>
        </w:rPr>
        <w:t xml:space="preserve">fied the firm’s reputation as a progressive global practice. KPF </w:t>
      </w:r>
      <w:proofErr w:type="gramStart"/>
      <w:r w:rsidRPr="001145FF">
        <w:rPr>
          <w:rFonts w:ascii="Times New Roman" w:hAnsi="Times New Roman"/>
          <w:sz w:val="28"/>
          <w:szCs w:val="28"/>
          <w:lang w:val="en-US"/>
        </w:rPr>
        <w:t>was chosen</w:t>
      </w:r>
      <w:proofErr w:type="gramEnd"/>
      <w:r w:rsidRPr="001145FF">
        <w:rPr>
          <w:rFonts w:ascii="Times New Roman" w:hAnsi="Times New Roman"/>
          <w:sz w:val="28"/>
          <w:szCs w:val="28"/>
          <w:lang w:val="en-US"/>
        </w:rPr>
        <w:t xml:space="preserve"> for subsequent projects throughout Europe, including </w:t>
      </w:r>
      <w:proofErr w:type="spellStart"/>
      <w:r w:rsidRPr="001145FF">
        <w:rPr>
          <w:rFonts w:ascii="Times New Roman" w:hAnsi="Times New Roman"/>
          <w:sz w:val="28"/>
          <w:szCs w:val="28"/>
          <w:lang w:val="en-US"/>
        </w:rPr>
        <w:t>Provinciehuis</w:t>
      </w:r>
      <w:proofErr w:type="spellEnd"/>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The Hague</w:t>
        </w:r>
      </w:smartTag>
      <w:r w:rsidRPr="001145FF">
        <w:rPr>
          <w:rFonts w:ascii="Times New Roman" w:hAnsi="Times New Roman"/>
          <w:sz w:val="28"/>
          <w:szCs w:val="28"/>
          <w:lang w:val="en-US"/>
        </w:rPr>
        <w:t xml:space="preserve"> (1998), Danube House in </w:t>
      </w:r>
      <w:smartTag w:uri="urn:schemas-microsoft-com:office:smarttags" w:element="PlaceType">
        <w:r w:rsidRPr="001145FF">
          <w:rPr>
            <w:rFonts w:ascii="Times New Roman" w:hAnsi="Times New Roman"/>
            <w:sz w:val="28"/>
            <w:szCs w:val="28"/>
            <w:lang w:val="en-US"/>
          </w:rPr>
          <w:t>River</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City</w:t>
        </w:r>
      </w:smartTag>
      <w:r w:rsidRPr="001145FF">
        <w:rPr>
          <w:rFonts w:ascii="Times New Roman" w:hAnsi="Times New Roman"/>
          <w:sz w:val="28"/>
          <w:szCs w:val="28"/>
          <w:lang w:val="en-US"/>
        </w:rPr>
        <w:t xml:space="preserve">, </w:t>
      </w:r>
      <w:smartTag w:uri="urn:schemas-microsoft-com:office:smarttags" w:element="City">
        <w:r w:rsidRPr="001145FF">
          <w:rPr>
            <w:rFonts w:ascii="Times New Roman" w:hAnsi="Times New Roman"/>
            <w:sz w:val="28"/>
            <w:szCs w:val="28"/>
            <w:lang w:val="en-US"/>
          </w:rPr>
          <w:t>Prague</w:t>
        </w:r>
      </w:smartTag>
      <w:r w:rsidRPr="001145FF">
        <w:rPr>
          <w:rFonts w:ascii="Times New Roman" w:hAnsi="Times New Roman"/>
          <w:sz w:val="28"/>
          <w:szCs w:val="28"/>
          <w:lang w:val="en-US"/>
        </w:rPr>
        <w:t xml:space="preserve"> (2003), the expansion and renovation of the </w:t>
      </w:r>
      <w:smartTag w:uri="urn:schemas-microsoft-com:office:smarttags" w:element="PlaceName">
        <w:r w:rsidRPr="001145FF">
          <w:rPr>
            <w:rFonts w:ascii="Times New Roman" w:hAnsi="Times New Roman"/>
            <w:sz w:val="28"/>
            <w:szCs w:val="28"/>
            <w:lang w:val="en-US"/>
          </w:rPr>
          <w:t>World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Trade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Center</w:t>
        </w:r>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Amsterdam</w:t>
        </w:r>
      </w:smartTag>
      <w:r w:rsidRPr="001145FF">
        <w:rPr>
          <w:rFonts w:ascii="Times New Roman" w:hAnsi="Times New Roman"/>
          <w:sz w:val="28"/>
          <w:szCs w:val="28"/>
          <w:lang w:val="en-US"/>
        </w:rPr>
        <w:t xml:space="preserve"> (2004) and the </w:t>
      </w:r>
      <w:proofErr w:type="spellStart"/>
      <w:r w:rsidRPr="001145FF">
        <w:rPr>
          <w:rFonts w:ascii="Times New Roman" w:hAnsi="Times New Roman"/>
          <w:sz w:val="28"/>
          <w:szCs w:val="28"/>
          <w:lang w:val="en-US"/>
        </w:rPr>
        <w:t>Endesa</w:t>
      </w:r>
      <w:proofErr w:type="spellEnd"/>
      <w:r w:rsidRPr="001145FF">
        <w:rPr>
          <w:rFonts w:ascii="Times New Roman" w:hAnsi="Times New Roman"/>
          <w:sz w:val="28"/>
          <w:szCs w:val="28"/>
          <w:lang w:val="en-US"/>
        </w:rPr>
        <w:t xml:space="preserve"> Headquarters in </w:t>
      </w:r>
      <w:smartTag w:uri="urn:schemas-microsoft-com:office:smarttags" w:element="State">
        <w:smartTag w:uri="urn:schemas-microsoft-com:office:smarttags" w:element="place">
          <w:r w:rsidRPr="001145FF">
            <w:rPr>
              <w:rFonts w:ascii="Times New Roman" w:hAnsi="Times New Roman"/>
              <w:sz w:val="28"/>
              <w:szCs w:val="28"/>
              <w:lang w:val="en-US"/>
            </w:rPr>
            <w:t>Madrid</w:t>
          </w:r>
        </w:smartTag>
      </w:smartTag>
      <w:r w:rsidRPr="001145FF">
        <w:rPr>
          <w:rFonts w:ascii="Times New Roman" w:hAnsi="Times New Roman"/>
          <w:sz w:val="28"/>
          <w:szCs w:val="28"/>
          <w:lang w:val="en-US"/>
        </w:rPr>
        <w:t xml:space="preserve"> (2003).</w:t>
      </w:r>
    </w:p>
    <w:p w:rsidR="00AA1AB6" w:rsidRPr="00AA1AB6" w:rsidRDefault="00AA1AB6" w:rsidP="00AA1AB6">
      <w:pPr>
        <w:ind w:firstLine="567"/>
        <w:jc w:val="both"/>
        <w:rPr>
          <w:sz w:val="28"/>
          <w:szCs w:val="28"/>
          <w:lang w:val="en-US"/>
        </w:rPr>
      </w:pPr>
      <w:r w:rsidRPr="001145FF">
        <w:rPr>
          <w:sz w:val="28"/>
          <w:szCs w:val="28"/>
          <w:lang w:val="en-US"/>
        </w:rPr>
        <w:t xml:space="preserve">KPF’s introduction to the Asian market began with the 4,500,000-square-foot (420,000 m2) </w:t>
      </w:r>
      <w:smartTag w:uri="urn:schemas-microsoft-com:office:smarttags" w:element="PlaceName">
        <w:r w:rsidRPr="001145FF">
          <w:rPr>
            <w:sz w:val="28"/>
            <w:szCs w:val="28"/>
            <w:lang w:val="en-US"/>
          </w:rPr>
          <w:t>Japan</w:t>
        </w:r>
      </w:smartTag>
      <w:r w:rsidRPr="001145FF">
        <w:rPr>
          <w:sz w:val="28"/>
          <w:szCs w:val="28"/>
          <w:lang w:val="en-US"/>
        </w:rPr>
        <w:t xml:space="preserve"> </w:t>
      </w:r>
      <w:smartTag w:uri="urn:schemas-microsoft-com:office:smarttags" w:element="PlaceName">
        <w:r w:rsidRPr="001145FF">
          <w:rPr>
            <w:sz w:val="28"/>
            <w:szCs w:val="28"/>
            <w:lang w:val="en-US"/>
          </w:rPr>
          <w:t>Railways</w:t>
        </w:r>
      </w:smartTag>
      <w:r w:rsidRPr="001145FF">
        <w:rPr>
          <w:sz w:val="28"/>
          <w:szCs w:val="28"/>
          <w:lang w:val="en-US"/>
        </w:rPr>
        <w:t xml:space="preserve"> </w:t>
      </w:r>
      <w:smartTag w:uri="urn:schemas-microsoft-com:office:smarttags" w:element="PlaceName">
        <w:r w:rsidRPr="001145FF">
          <w:rPr>
            <w:sz w:val="28"/>
            <w:szCs w:val="28"/>
            <w:lang w:val="en-US"/>
          </w:rPr>
          <w:t>Central</w:t>
        </w:r>
      </w:smartTag>
      <w:r w:rsidRPr="001145FF">
        <w:rPr>
          <w:sz w:val="28"/>
          <w:szCs w:val="28"/>
          <w:lang w:val="en-US"/>
        </w:rPr>
        <w:t xml:space="preserve"> </w:t>
      </w:r>
      <w:smartTag w:uri="urn:schemas-microsoft-com:office:smarttags" w:element="PlaceType">
        <w:r w:rsidRPr="001145FF">
          <w:rPr>
            <w:sz w:val="28"/>
            <w:szCs w:val="28"/>
            <w:lang w:val="en-US"/>
          </w:rPr>
          <w:t>Towers</w:t>
        </w:r>
      </w:smartTag>
      <w:r w:rsidRPr="001145FF">
        <w:rPr>
          <w:sz w:val="28"/>
          <w:szCs w:val="28"/>
          <w:lang w:val="en-US"/>
        </w:rPr>
        <w:t xml:space="preserve"> project in </w:t>
      </w:r>
      <w:smartTag w:uri="urn:schemas-microsoft-com:office:smarttags" w:element="City">
        <w:smartTag w:uri="urn:schemas-microsoft-com:office:smarttags" w:element="place">
          <w:r w:rsidRPr="001145FF">
            <w:rPr>
              <w:sz w:val="28"/>
              <w:szCs w:val="28"/>
              <w:lang w:val="en-US"/>
            </w:rPr>
            <w:t>Nagoya</w:t>
          </w:r>
        </w:smartTag>
      </w:smartTag>
      <w:r w:rsidRPr="001145FF">
        <w:rPr>
          <w:sz w:val="28"/>
          <w:szCs w:val="28"/>
          <w:lang w:val="en-US"/>
        </w:rPr>
        <w:t xml:space="preserve"> (1999). Within 10 years, KPF had projects in </w:t>
      </w:r>
      <w:smartTag w:uri="urn:schemas-microsoft-com:office:smarttags" w:element="country-region">
        <w:r w:rsidRPr="001145FF">
          <w:rPr>
            <w:sz w:val="28"/>
            <w:szCs w:val="28"/>
            <w:lang w:val="en-US"/>
          </w:rPr>
          <w:t>Japan</w:t>
        </w:r>
      </w:smartTag>
      <w:r w:rsidRPr="001145FF">
        <w:rPr>
          <w:sz w:val="28"/>
          <w:szCs w:val="28"/>
          <w:lang w:val="en-US"/>
        </w:rPr>
        <w:t xml:space="preserve">, </w:t>
      </w:r>
      <w:smartTag w:uri="urn:schemas-microsoft-com:office:smarttags" w:element="country-region">
        <w:r w:rsidRPr="001145FF">
          <w:rPr>
            <w:sz w:val="28"/>
            <w:szCs w:val="28"/>
            <w:lang w:val="en-US"/>
          </w:rPr>
          <w:t>Korea</w:t>
        </w:r>
      </w:smartTag>
      <w:r w:rsidRPr="001145FF">
        <w:rPr>
          <w:sz w:val="28"/>
          <w:szCs w:val="28"/>
          <w:lang w:val="en-US"/>
        </w:rPr>
        <w:t xml:space="preserve">, </w:t>
      </w:r>
      <w:smartTag w:uri="urn:schemas-microsoft-com:office:smarttags" w:element="country-region">
        <w:r w:rsidRPr="001145FF">
          <w:rPr>
            <w:sz w:val="28"/>
            <w:szCs w:val="28"/>
            <w:lang w:val="en-US"/>
          </w:rPr>
          <w:t>Indonesia</w:t>
        </w:r>
      </w:smartTag>
      <w:r w:rsidRPr="001145FF">
        <w:rPr>
          <w:sz w:val="28"/>
          <w:szCs w:val="28"/>
          <w:lang w:val="en-US"/>
        </w:rPr>
        <w:t xml:space="preserve">, </w:t>
      </w:r>
      <w:smartTag w:uri="urn:schemas-microsoft-com:office:smarttags" w:element="country-region">
        <w:r w:rsidRPr="001145FF">
          <w:rPr>
            <w:sz w:val="28"/>
            <w:szCs w:val="28"/>
            <w:lang w:val="en-US"/>
          </w:rPr>
          <w:t>Thailand</w:t>
        </w:r>
      </w:smartTag>
      <w:r w:rsidRPr="001145FF">
        <w:rPr>
          <w:sz w:val="28"/>
          <w:szCs w:val="28"/>
          <w:lang w:val="en-US"/>
        </w:rPr>
        <w:t xml:space="preserve">, </w:t>
      </w:r>
      <w:smartTag w:uri="urn:schemas-microsoft-com:office:smarttags" w:element="City">
        <w:r w:rsidRPr="001145FF">
          <w:rPr>
            <w:sz w:val="28"/>
            <w:szCs w:val="28"/>
            <w:lang w:val="en-US"/>
          </w:rPr>
          <w:t>Hong Kong</w:t>
        </w:r>
      </w:smartTag>
      <w:r w:rsidRPr="001145FF">
        <w:rPr>
          <w:sz w:val="28"/>
          <w:szCs w:val="28"/>
          <w:lang w:val="en-US"/>
        </w:rPr>
        <w:t xml:space="preserve">, </w:t>
      </w:r>
      <w:smartTag w:uri="urn:schemas-microsoft-com:office:smarttags" w:element="country-region">
        <w:r w:rsidRPr="001145FF">
          <w:rPr>
            <w:sz w:val="28"/>
            <w:szCs w:val="28"/>
            <w:lang w:val="en-US"/>
          </w:rPr>
          <w:t>Taiwan</w:t>
        </w:r>
      </w:smartTag>
      <w:r w:rsidRPr="001145FF">
        <w:rPr>
          <w:sz w:val="28"/>
          <w:szCs w:val="28"/>
          <w:lang w:val="en-US"/>
        </w:rPr>
        <w:t xml:space="preserve"> and mainland </w:t>
      </w:r>
      <w:smartTag w:uri="urn:schemas-microsoft-com:office:smarttags" w:element="country-region">
        <w:smartTag w:uri="urn:schemas-microsoft-com:office:smarttags" w:element="place">
          <w:r w:rsidRPr="001145FF">
            <w:rPr>
              <w:sz w:val="28"/>
              <w:szCs w:val="28"/>
              <w:lang w:val="en-US"/>
            </w:rPr>
            <w:t>China</w:t>
          </w:r>
        </w:smartTag>
      </w:smartTag>
      <w:r w:rsidRPr="001145FF">
        <w:rPr>
          <w:sz w:val="28"/>
          <w:szCs w:val="28"/>
          <w:lang w:val="en-US"/>
        </w:rPr>
        <w:t xml:space="preserve">. </w:t>
      </w:r>
      <w:proofErr w:type="gramStart"/>
      <w:r w:rsidRPr="001145FF">
        <w:rPr>
          <w:sz w:val="28"/>
          <w:szCs w:val="28"/>
          <w:lang w:val="en-US"/>
        </w:rPr>
        <w:t xml:space="preserve">Completed KPF projects in Asia include Plaza 66 on Shanghai’s Nanjing Xi Lu (2001), </w:t>
      </w:r>
      <w:proofErr w:type="spellStart"/>
      <w:r w:rsidRPr="001145FF">
        <w:rPr>
          <w:sz w:val="28"/>
          <w:szCs w:val="28"/>
          <w:lang w:val="en-US"/>
        </w:rPr>
        <w:t>Roppongi</w:t>
      </w:r>
      <w:proofErr w:type="spellEnd"/>
      <w:r w:rsidRPr="001145FF">
        <w:rPr>
          <w:sz w:val="28"/>
          <w:szCs w:val="28"/>
          <w:lang w:val="en-US"/>
        </w:rPr>
        <w:t xml:space="preserve"> Hills in Tokyo (2003), the Rodin Pavilion in Seoul (2003), the Merrill Lynch Japan Head Office in Tokyo (2004) and the Shanghai World Financial Center (2008), which was named the “Best Tall Building Overall” by the Council on Tall Buildings and</w:t>
      </w:r>
      <w:r>
        <w:rPr>
          <w:sz w:val="28"/>
          <w:szCs w:val="28"/>
          <w:lang w:val="en-US"/>
        </w:rPr>
        <w:t xml:space="preserve"> the Urban Habitat in 2008.</w:t>
      </w:r>
      <w:r w:rsidRPr="001145FF">
        <w:rPr>
          <w:sz w:val="28"/>
          <w:szCs w:val="28"/>
          <w:lang w:val="en-US"/>
        </w:rPr>
        <w:t xml:space="preserve">KPF worked with renowned structural engineers, Leslie E. Robertson Associates, to maximize the Shanghai tower’s floor plate and material efficiency </w:t>
      </w:r>
      <w:r>
        <w:rPr>
          <w:sz w:val="28"/>
          <w:szCs w:val="28"/>
          <w:lang w:val="en-US"/>
        </w:rPr>
        <w:t>by perfecting its tapered form.</w:t>
      </w:r>
      <w:proofErr w:type="gramEnd"/>
      <w:r w:rsidRPr="001145FF">
        <w:rPr>
          <w:sz w:val="28"/>
          <w:szCs w:val="28"/>
          <w:lang w:val="en-US"/>
        </w:rPr>
        <w:t xml:space="preserve"> In addition to this work in Asia, KPF has completed projects in the Middle East including the Abu Dhabi Investment Authority Headquarters (2007) and the </w:t>
      </w:r>
      <w:smartTag w:uri="urn:schemas-microsoft-com:office:smarttags" w:element="PlaceName">
        <w:r w:rsidRPr="001145FF">
          <w:rPr>
            <w:sz w:val="28"/>
            <w:szCs w:val="28"/>
            <w:lang w:val="en-US"/>
          </w:rPr>
          <w:t>Marina</w:t>
        </w:r>
      </w:smartTag>
      <w:r w:rsidRPr="001145FF">
        <w:rPr>
          <w:sz w:val="28"/>
          <w:szCs w:val="28"/>
          <w:lang w:val="en-US"/>
        </w:rPr>
        <w:t xml:space="preserve"> </w:t>
      </w:r>
      <w:smartTag w:uri="urn:schemas-microsoft-com:office:smarttags" w:element="PlaceName">
        <w:r w:rsidRPr="001145FF">
          <w:rPr>
            <w:sz w:val="28"/>
            <w:szCs w:val="28"/>
            <w:lang w:val="en-US"/>
          </w:rPr>
          <w:t>Towers</w:t>
        </w:r>
      </w:smartTag>
      <w:r w:rsidRPr="001145FF">
        <w:rPr>
          <w:sz w:val="28"/>
          <w:szCs w:val="28"/>
          <w:lang w:val="en-US"/>
        </w:rPr>
        <w:t xml:space="preserve"> (2008), and has worked in South America, Africa and </w:t>
      </w:r>
      <w:smartTag w:uri="urn:schemas-microsoft-com:office:smarttags" w:element="country-region">
        <w:smartTag w:uri="urn:schemas-microsoft-com:office:smarttags" w:element="place">
          <w:r w:rsidRPr="001145FF">
            <w:rPr>
              <w:sz w:val="28"/>
              <w:szCs w:val="28"/>
              <w:lang w:val="en-US"/>
            </w:rPr>
            <w:t>Australia</w:t>
          </w:r>
        </w:smartTag>
      </w:smartTag>
      <w:r w:rsidRPr="001145FF">
        <w:rPr>
          <w:sz w:val="28"/>
          <w:szCs w:val="28"/>
          <w:lang w:val="en-US"/>
        </w:rPr>
        <w:t>.</w:t>
      </w:r>
    </w:p>
    <w:p w:rsidR="00AA1AB6" w:rsidRPr="00AA1AB6" w:rsidRDefault="00AA1AB6">
      <w:pPr>
        <w:rPr>
          <w:lang w:val="en-US"/>
        </w:rPr>
      </w:pPr>
      <w:bookmarkStart w:id="0" w:name="_GoBack"/>
      <w:bookmarkEnd w:id="0"/>
    </w:p>
    <w:sectPr w:rsidR="00AA1AB6" w:rsidRPr="00AA1AB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9EB"/>
    <w:rsid w:val="00140A59"/>
    <w:rsid w:val="002D19EB"/>
    <w:rsid w:val="00AA1AB6"/>
    <w:rsid w:val="00AE25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3FB6D985-B6E9-40B3-85C1-283AEF1DEE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AA1AB6"/>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2062</Characters>
  <Application>Microsoft Office Word</Application>
  <DocSecurity>0</DocSecurity>
  <Lines>17</Lines>
  <Paragraphs>4</Paragraphs>
  <ScaleCrop>false</ScaleCrop>
  <Company/>
  <LinksUpToDate>false</LinksUpToDate>
  <CharactersWithSpaces>2419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2020-11-27T05:46:00Z</dcterms:created>
  <dcterms:modified xsi:type="dcterms:W3CDTF">2020-11-27T06:12:00Z</dcterms:modified>
</cp:coreProperties>
</file>